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A118DE7" w:rsidR="00175AE6" w:rsidRPr="00633C5E" w:rsidRDefault="007960B7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0B7">
        <w:rPr>
          <w:rFonts w:ascii="Times New Roman" w:hAnsi="Times New Roman" w:cs="Times New Roman"/>
          <w:sz w:val="24"/>
          <w:szCs w:val="24"/>
        </w:rPr>
        <w:t>Appendix A3.2  - Internal Org Structure_</w:t>
      </w:r>
      <w:r w:rsidR="00DE30A8">
        <w:rPr>
          <w:rFonts w:ascii="Times New Roman" w:hAnsi="Times New Roman" w:cs="Times New Roman" w:hint="eastAsia"/>
          <w:sz w:val="24"/>
          <w:szCs w:val="24"/>
        </w:rPr>
        <w:t>C</w:t>
      </w:r>
      <w:r w:rsidRPr="007960B7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0DD43E6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720E01" w:rsidRPr="00720E01">
        <w:rPr>
          <w:rFonts w:ascii="Times New Roman" w:hAnsi="Times New Roman" w:cs="Times New Roman"/>
          <w:sz w:val="24"/>
          <w:szCs w:val="24"/>
        </w:rPr>
        <w:t>Internal Organisation Structure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720E01"/>
    <w:rsid w:val="007960B7"/>
    <w:rsid w:val="00DE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2024-03-14T21:38:00Z</dcterms:modified>
</cp:coreProperties>
</file>